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AB57" w14:textId="77777777" w:rsidR="00795D59" w:rsidRPr="00795D59" w:rsidRDefault="00795D59" w:rsidP="00795D59">
      <w:pPr>
        <w:rPr>
          <w:rFonts w:cs="Arial"/>
          <w:b/>
          <w:bCs/>
          <w:sz w:val="24"/>
          <w:szCs w:val="24"/>
        </w:rPr>
      </w:pPr>
      <w:r w:rsidRPr="00795D59">
        <w:rPr>
          <w:rFonts w:cs="Arial"/>
          <w:b/>
          <w:bCs/>
          <w:sz w:val="24"/>
          <w:szCs w:val="24"/>
        </w:rPr>
        <w:t>An ordinance to amend the City of Auburn Zoning Ordinance Chapter 154 regarding section 154.005-154.031.</w:t>
      </w:r>
    </w:p>
    <w:p w14:paraId="2E196805" w14:textId="7D2B8EA6" w:rsidR="00795D59" w:rsidRPr="00795D59" w:rsidRDefault="00795D59" w:rsidP="00795D59">
      <w:pPr>
        <w:rPr>
          <w:rFonts w:cs="Arial"/>
          <w:b/>
          <w:bCs/>
          <w:sz w:val="24"/>
          <w:szCs w:val="24"/>
        </w:rPr>
      </w:pPr>
      <w:r w:rsidRPr="00795D59">
        <w:rPr>
          <w:rFonts w:cs="Arial"/>
          <w:b/>
          <w:bCs/>
          <w:sz w:val="24"/>
          <w:szCs w:val="24"/>
        </w:rPr>
        <w:t>The City of Auburn, Bay County, Michigan, Hereby Ordains the following amended ordinance shall read as follows</w:t>
      </w:r>
      <w:r w:rsidRPr="00795D59">
        <w:rPr>
          <w:rFonts w:cs="Arial"/>
          <w:b/>
          <w:bCs/>
          <w:sz w:val="24"/>
          <w:szCs w:val="24"/>
        </w:rPr>
        <w:t>:</w:t>
      </w:r>
    </w:p>
    <w:p w14:paraId="7DDDCED7" w14:textId="77777777" w:rsidR="00795D59" w:rsidRDefault="00795D59" w:rsidP="00A55C84">
      <w:pPr>
        <w:jc w:val="center"/>
        <w:rPr>
          <w:rFonts w:cs="Arial"/>
        </w:rPr>
      </w:pPr>
    </w:p>
    <w:p w14:paraId="208627EA" w14:textId="1FB85691" w:rsidR="00A55C84" w:rsidRPr="0037232D" w:rsidRDefault="008C3911" w:rsidP="00A55C84">
      <w:pPr>
        <w:jc w:val="center"/>
        <w:rPr>
          <w:rFonts w:cs="Arial"/>
        </w:rPr>
      </w:pPr>
      <w:r>
        <w:rPr>
          <w:rFonts w:cs="Arial"/>
        </w:rPr>
        <w:t>Accessory Structure Text Amendment</w:t>
      </w:r>
    </w:p>
    <w:p w14:paraId="3CE2CFE1" w14:textId="75A9F1C6" w:rsidR="00C05382" w:rsidRPr="0037232D" w:rsidRDefault="009860DA" w:rsidP="009860DA">
      <w:pPr>
        <w:pStyle w:val="Heading1"/>
        <w:rPr>
          <w:rFonts w:cs="Arial"/>
        </w:rPr>
      </w:pPr>
      <w:r w:rsidRPr="0037232D">
        <w:rPr>
          <w:rFonts w:cs="Arial"/>
        </w:rPr>
        <w:t>Article</w:t>
      </w:r>
      <w:r w:rsidR="00511636">
        <w:rPr>
          <w:rFonts w:cs="Arial"/>
        </w:rPr>
        <w:t xml:space="preserve"> I General Provisions</w:t>
      </w:r>
    </w:p>
    <w:p w14:paraId="612FE102" w14:textId="77777777" w:rsidR="009860DA" w:rsidRPr="0037232D" w:rsidRDefault="009860DA" w:rsidP="009860DA">
      <w:pPr>
        <w:spacing w:after="0"/>
        <w:rPr>
          <w:rFonts w:cs="Arial"/>
          <w:sz w:val="14"/>
          <w:szCs w:val="14"/>
        </w:rPr>
      </w:pPr>
    </w:p>
    <w:p w14:paraId="4FD8A3E2" w14:textId="7C19767E" w:rsidR="009860DA" w:rsidRPr="0037232D" w:rsidRDefault="009860DA" w:rsidP="009860DA">
      <w:pPr>
        <w:pStyle w:val="Heading2"/>
        <w:rPr>
          <w:rFonts w:cs="Arial"/>
        </w:rPr>
      </w:pPr>
      <w:r w:rsidRPr="0037232D">
        <w:rPr>
          <w:rFonts w:cs="Arial"/>
        </w:rPr>
        <w:t xml:space="preserve">Section </w:t>
      </w:r>
      <w:r w:rsidR="00511636">
        <w:rPr>
          <w:rFonts w:cs="Arial"/>
        </w:rPr>
        <w:t>154.005 Definitions</w:t>
      </w:r>
    </w:p>
    <w:p w14:paraId="61A0B784" w14:textId="5163AE7F" w:rsidR="00511636" w:rsidRPr="00511636" w:rsidRDefault="00511636" w:rsidP="00511636">
      <w:pPr>
        <w:autoSpaceDE w:val="0"/>
        <w:autoSpaceDN w:val="0"/>
        <w:adjustRightInd w:val="0"/>
        <w:spacing w:after="0" w:line="240" w:lineRule="auto"/>
        <w:rPr>
          <w:rFonts w:cs="Arial"/>
          <w:sz w:val="22"/>
        </w:rPr>
      </w:pPr>
      <w:r w:rsidRPr="00511636">
        <w:rPr>
          <w:rFonts w:cs="Arial"/>
          <w:b/>
          <w:bCs/>
          <w:i/>
          <w:iCs/>
          <w:sz w:val="22"/>
        </w:rPr>
        <w:t xml:space="preserve">ACCESSORY BUILDING </w:t>
      </w:r>
      <w:r w:rsidRPr="00511636">
        <w:rPr>
          <w:rFonts w:cs="Arial"/>
          <w:i/>
          <w:iCs/>
          <w:sz w:val="22"/>
        </w:rPr>
        <w:t xml:space="preserve">or </w:t>
      </w:r>
      <w:r w:rsidRPr="00511636">
        <w:rPr>
          <w:rFonts w:cs="Arial"/>
          <w:b/>
          <w:bCs/>
          <w:i/>
          <w:iCs/>
          <w:sz w:val="22"/>
        </w:rPr>
        <w:t xml:space="preserve">ACCESSORY STRUCTURE. </w:t>
      </w:r>
      <w:r w:rsidRPr="00511636">
        <w:rPr>
          <w:rFonts w:cs="Arial"/>
          <w:sz w:val="22"/>
        </w:rPr>
        <w:t>Any unattached subordinate building or structure, such as a private garage, which is incidental to that of the main building, located on the same lot with the main building</w:t>
      </w:r>
      <w:r w:rsidRPr="00511636">
        <w:rPr>
          <w:rFonts w:cs="Arial"/>
          <w:color w:val="FF0000"/>
          <w:sz w:val="22"/>
        </w:rPr>
        <w:t>.</w:t>
      </w:r>
      <w:r w:rsidRPr="00511636">
        <w:rPr>
          <w:rFonts w:cs="Arial"/>
          <w:strike/>
          <w:sz w:val="22"/>
        </w:rPr>
        <w:t>, or any portion of the main building if that portion is occupied or devoted exclusively to an accessory use.</w:t>
      </w:r>
    </w:p>
    <w:p w14:paraId="04F9B9ED" w14:textId="77777777" w:rsidR="00511636" w:rsidRPr="00511636" w:rsidRDefault="00511636" w:rsidP="00511636">
      <w:pPr>
        <w:autoSpaceDE w:val="0"/>
        <w:autoSpaceDN w:val="0"/>
        <w:adjustRightInd w:val="0"/>
        <w:spacing w:after="0" w:line="240" w:lineRule="auto"/>
        <w:rPr>
          <w:rFonts w:cs="Arial"/>
          <w:sz w:val="22"/>
        </w:rPr>
      </w:pPr>
    </w:p>
    <w:p w14:paraId="062C46E1" w14:textId="468EBFE2" w:rsidR="009860DA" w:rsidRPr="00511636" w:rsidRDefault="00511636" w:rsidP="00511636">
      <w:pPr>
        <w:autoSpaceDE w:val="0"/>
        <w:autoSpaceDN w:val="0"/>
        <w:adjustRightInd w:val="0"/>
        <w:spacing w:after="0" w:line="240" w:lineRule="auto"/>
        <w:rPr>
          <w:rFonts w:cs="Arial"/>
          <w:sz w:val="22"/>
        </w:rPr>
      </w:pPr>
      <w:r w:rsidRPr="00511636">
        <w:rPr>
          <w:rFonts w:cs="Arial"/>
          <w:b/>
          <w:bCs/>
          <w:i/>
          <w:iCs/>
          <w:sz w:val="22"/>
        </w:rPr>
        <w:t xml:space="preserve">ACCESSORY USE. </w:t>
      </w:r>
      <w:r w:rsidRPr="00511636">
        <w:rPr>
          <w:rFonts w:cs="Arial"/>
          <w:sz w:val="22"/>
        </w:rPr>
        <w:t>Any use customarily incidental and subordinate to the main use of the premises</w:t>
      </w:r>
      <w:proofErr w:type="gramStart"/>
      <w:r w:rsidR="008C3911" w:rsidRPr="008C3911">
        <w:rPr>
          <w:rFonts w:cs="Arial"/>
          <w:color w:val="FF0000"/>
          <w:sz w:val="22"/>
        </w:rPr>
        <w:t>.</w:t>
      </w:r>
      <w:r w:rsidR="008C3911">
        <w:rPr>
          <w:rFonts w:cs="Arial"/>
          <w:color w:val="FF0000"/>
          <w:sz w:val="22"/>
        </w:rPr>
        <w:t xml:space="preserve"> </w:t>
      </w:r>
      <w:r w:rsidRPr="008C3911">
        <w:rPr>
          <w:rFonts w:cs="Arial"/>
          <w:strike/>
          <w:sz w:val="22"/>
        </w:rPr>
        <w:t>,</w:t>
      </w:r>
      <w:proofErr w:type="gramEnd"/>
      <w:r w:rsidRPr="008C3911">
        <w:rPr>
          <w:rFonts w:cs="Arial"/>
          <w:strike/>
          <w:sz w:val="22"/>
        </w:rPr>
        <w:t xml:space="preserve"> but does not include residential occupation</w:t>
      </w:r>
      <w:r w:rsidRPr="00511636">
        <w:rPr>
          <w:rFonts w:cs="Arial"/>
          <w:sz w:val="22"/>
        </w:rPr>
        <w:t xml:space="preserve">. These may include, but are not limited to, private garages, permanent storage sheds, playhouses, decks, </w:t>
      </w:r>
      <w:proofErr w:type="gramStart"/>
      <w:r w:rsidRPr="00511636">
        <w:rPr>
          <w:rFonts w:cs="Arial"/>
          <w:sz w:val="22"/>
        </w:rPr>
        <w:t>porches</w:t>
      </w:r>
      <w:proofErr w:type="gramEnd"/>
      <w:r w:rsidRPr="00511636">
        <w:rPr>
          <w:rFonts w:cs="Arial"/>
          <w:sz w:val="22"/>
        </w:rPr>
        <w:t xml:space="preserve"> and carports.</w:t>
      </w:r>
    </w:p>
    <w:p w14:paraId="0929DD96" w14:textId="6DB1EFC8" w:rsidR="00511636" w:rsidRDefault="00511636" w:rsidP="00511636">
      <w:pPr>
        <w:rPr>
          <w:rFonts w:cs="Arial"/>
        </w:rPr>
      </w:pPr>
    </w:p>
    <w:p w14:paraId="1E19BB4E" w14:textId="225E19E7" w:rsidR="00511636" w:rsidRPr="0037232D" w:rsidRDefault="00511636" w:rsidP="00511636">
      <w:pPr>
        <w:pStyle w:val="Heading2"/>
        <w:rPr>
          <w:rFonts w:cs="Arial"/>
        </w:rPr>
      </w:pPr>
      <w:r w:rsidRPr="0037232D">
        <w:rPr>
          <w:rFonts w:cs="Arial"/>
        </w:rPr>
        <w:t xml:space="preserve">Section </w:t>
      </w:r>
      <w:r>
        <w:rPr>
          <w:rFonts w:cs="Arial"/>
        </w:rPr>
        <w:t>154.008 Structure Regulations</w:t>
      </w:r>
    </w:p>
    <w:p w14:paraId="3ABD5C64" w14:textId="77777777" w:rsidR="00511636" w:rsidRPr="00511636" w:rsidRDefault="00511636" w:rsidP="00511636">
      <w:pPr>
        <w:rPr>
          <w:rFonts w:cs="Arial"/>
          <w:sz w:val="22"/>
        </w:rPr>
      </w:pPr>
      <w:r w:rsidRPr="00511636">
        <w:rPr>
          <w:rFonts w:cs="Arial"/>
          <w:sz w:val="22"/>
        </w:rPr>
        <w:t xml:space="preserve">(B) Accessory buildings or </w:t>
      </w:r>
      <w:r w:rsidRPr="008C3911">
        <w:rPr>
          <w:rFonts w:cs="Arial"/>
          <w:strike/>
          <w:sz w:val="22"/>
        </w:rPr>
        <w:t>accessory</w:t>
      </w:r>
      <w:r w:rsidRPr="00511636">
        <w:rPr>
          <w:rFonts w:cs="Arial"/>
          <w:sz w:val="22"/>
        </w:rPr>
        <w:t xml:space="preserve"> structures in R-1, R-</w:t>
      </w:r>
      <w:proofErr w:type="gramStart"/>
      <w:r w:rsidRPr="00511636">
        <w:rPr>
          <w:rFonts w:cs="Arial"/>
          <w:sz w:val="22"/>
        </w:rPr>
        <w:t>2</w:t>
      </w:r>
      <w:proofErr w:type="gramEnd"/>
      <w:r w:rsidRPr="00511636">
        <w:rPr>
          <w:rFonts w:cs="Arial"/>
          <w:sz w:val="22"/>
        </w:rPr>
        <w:t xml:space="preserve"> and R-3.</w:t>
      </w:r>
    </w:p>
    <w:p w14:paraId="230B9C14" w14:textId="77777777" w:rsidR="008C3911" w:rsidRDefault="00511636" w:rsidP="008C3911">
      <w:pPr>
        <w:ind w:left="720"/>
        <w:rPr>
          <w:rFonts w:cs="Arial"/>
          <w:sz w:val="22"/>
        </w:rPr>
      </w:pPr>
      <w:r w:rsidRPr="00511636">
        <w:rPr>
          <w:rFonts w:cs="Arial"/>
          <w:sz w:val="22"/>
        </w:rPr>
        <w:t xml:space="preserve">(1) No accessory building or structure may be built upon any lot on which there is no principal building. </w:t>
      </w:r>
    </w:p>
    <w:p w14:paraId="26E69E27" w14:textId="60CFA994" w:rsidR="008C3911" w:rsidRDefault="008C3911" w:rsidP="008C3911">
      <w:pPr>
        <w:ind w:left="720"/>
        <w:rPr>
          <w:rFonts w:cs="Arial"/>
          <w:sz w:val="22"/>
        </w:rPr>
      </w:pPr>
      <w:r w:rsidRPr="008C3911">
        <w:rPr>
          <w:rFonts w:cs="Arial"/>
          <w:color w:val="FF0000"/>
          <w:sz w:val="22"/>
        </w:rPr>
        <w:t>(2)</w:t>
      </w:r>
      <w:r>
        <w:rPr>
          <w:rFonts w:cs="Arial"/>
          <w:sz w:val="22"/>
        </w:rPr>
        <w:t xml:space="preserve"> </w:t>
      </w:r>
      <w:r w:rsidR="00511636" w:rsidRPr="00511636">
        <w:rPr>
          <w:rFonts w:cs="Arial"/>
          <w:sz w:val="22"/>
        </w:rPr>
        <w:t>Accessory structures and buildings may not be inhabited</w:t>
      </w:r>
      <w:r w:rsidR="00786EE1">
        <w:rPr>
          <w:rFonts w:cs="Arial"/>
          <w:sz w:val="22"/>
        </w:rPr>
        <w:t xml:space="preserve"> </w:t>
      </w:r>
      <w:r w:rsidR="00786EE1">
        <w:rPr>
          <w:rFonts w:cs="Arial"/>
          <w:color w:val="FF0000"/>
          <w:sz w:val="22"/>
        </w:rPr>
        <w:t>for residential use</w:t>
      </w:r>
      <w:r w:rsidR="00511636" w:rsidRPr="00511636">
        <w:rPr>
          <w:rFonts w:cs="Arial"/>
          <w:sz w:val="22"/>
        </w:rPr>
        <w:t xml:space="preserve">. </w:t>
      </w:r>
    </w:p>
    <w:p w14:paraId="506F4F07" w14:textId="5DA3B134" w:rsidR="00511636" w:rsidRPr="00511636" w:rsidRDefault="008C3911" w:rsidP="008C3911">
      <w:pPr>
        <w:ind w:left="720"/>
        <w:rPr>
          <w:rFonts w:cs="Arial"/>
          <w:sz w:val="22"/>
        </w:rPr>
      </w:pPr>
      <w:r>
        <w:rPr>
          <w:rFonts w:cs="Arial"/>
          <w:color w:val="FF0000"/>
          <w:sz w:val="22"/>
        </w:rPr>
        <w:t xml:space="preserve">(3) </w:t>
      </w:r>
      <w:r w:rsidR="00511636" w:rsidRPr="00511636">
        <w:rPr>
          <w:rFonts w:cs="Arial"/>
          <w:sz w:val="22"/>
        </w:rPr>
        <w:t>No accessory building (except for school bus shelters) shall be placed in any required front or side yard nor closer than ten (10) feet to any other building.</w:t>
      </w:r>
    </w:p>
    <w:p w14:paraId="2EA862B5" w14:textId="2281EC34" w:rsidR="00511636" w:rsidRPr="009A4B73" w:rsidRDefault="00511636" w:rsidP="008C3911">
      <w:pPr>
        <w:ind w:left="720"/>
        <w:rPr>
          <w:rFonts w:cs="Arial"/>
          <w:color w:val="FF0000"/>
          <w:sz w:val="22"/>
        </w:rPr>
      </w:pPr>
      <w:r w:rsidRPr="00511636">
        <w:rPr>
          <w:rFonts w:cs="Arial"/>
          <w:sz w:val="22"/>
        </w:rPr>
        <w:t>(</w:t>
      </w:r>
      <w:r w:rsidRPr="008C3911">
        <w:rPr>
          <w:rFonts w:cs="Arial"/>
          <w:strike/>
          <w:sz w:val="22"/>
        </w:rPr>
        <w:t>2</w:t>
      </w:r>
      <w:r w:rsidR="008C3911" w:rsidRPr="008C3911">
        <w:rPr>
          <w:rFonts w:cs="Arial"/>
          <w:color w:val="FF0000"/>
          <w:sz w:val="22"/>
        </w:rPr>
        <w:t>4</w:t>
      </w:r>
      <w:r w:rsidRPr="00511636">
        <w:rPr>
          <w:rFonts w:cs="Arial"/>
          <w:sz w:val="22"/>
        </w:rPr>
        <w:t xml:space="preserve">) Size of accessory structures: There may be a total of two detached </w:t>
      </w:r>
      <w:r w:rsidRPr="00511636">
        <w:rPr>
          <w:rFonts w:cs="Arial"/>
          <w:strike/>
          <w:sz w:val="22"/>
        </w:rPr>
        <w:t xml:space="preserve">or attached </w:t>
      </w:r>
      <w:r w:rsidRPr="00511636">
        <w:rPr>
          <w:rFonts w:cs="Arial"/>
          <w:sz w:val="22"/>
        </w:rPr>
        <w:t xml:space="preserve">accessory buildings on a residential lot. The combined total square footage of accessory </w:t>
      </w:r>
      <w:r w:rsidR="00840A67" w:rsidRPr="00840A67">
        <w:rPr>
          <w:rFonts w:cs="Arial"/>
          <w:color w:val="FF0000"/>
          <w:sz w:val="22"/>
        </w:rPr>
        <w:t xml:space="preserve">buildings or </w:t>
      </w:r>
      <w:r w:rsidRPr="00840A67">
        <w:rPr>
          <w:rFonts w:cs="Arial"/>
          <w:color w:val="FF0000"/>
          <w:sz w:val="22"/>
        </w:rPr>
        <w:t xml:space="preserve">structures </w:t>
      </w:r>
      <w:r w:rsidRPr="00511636">
        <w:rPr>
          <w:rFonts w:cs="Arial"/>
          <w:sz w:val="22"/>
        </w:rPr>
        <w:t xml:space="preserve">on the lot, may not exceed </w:t>
      </w:r>
      <w:r w:rsidRPr="009A4B73">
        <w:rPr>
          <w:rFonts w:cs="Arial"/>
          <w:strike/>
          <w:sz w:val="22"/>
        </w:rPr>
        <w:t>six hundred (600)</w:t>
      </w:r>
      <w:r w:rsidRPr="00511636">
        <w:rPr>
          <w:rFonts w:cs="Arial"/>
          <w:sz w:val="22"/>
        </w:rPr>
        <w:t xml:space="preserve"> </w:t>
      </w:r>
      <w:r w:rsidR="00602A13">
        <w:rPr>
          <w:rFonts w:cs="Arial"/>
          <w:color w:val="FF0000"/>
          <w:sz w:val="22"/>
        </w:rPr>
        <w:t>two hundred and forty</w:t>
      </w:r>
      <w:r w:rsidR="009A4B73">
        <w:rPr>
          <w:rFonts w:cs="Arial"/>
          <w:color w:val="FF0000"/>
          <w:sz w:val="22"/>
        </w:rPr>
        <w:t xml:space="preserve"> (</w:t>
      </w:r>
      <w:r w:rsidR="00602A13">
        <w:rPr>
          <w:rFonts w:cs="Arial"/>
          <w:color w:val="FF0000"/>
          <w:sz w:val="22"/>
        </w:rPr>
        <w:t>240</w:t>
      </w:r>
      <w:r w:rsidR="009A4B73">
        <w:rPr>
          <w:rFonts w:cs="Arial"/>
          <w:color w:val="FF0000"/>
          <w:sz w:val="22"/>
        </w:rPr>
        <w:t xml:space="preserve">) </w:t>
      </w:r>
      <w:r w:rsidRPr="00511636">
        <w:rPr>
          <w:rFonts w:cs="Arial"/>
          <w:sz w:val="22"/>
        </w:rPr>
        <w:t>square feet.</w:t>
      </w:r>
      <w:r w:rsidR="009A4B73">
        <w:rPr>
          <w:rFonts w:cs="Arial"/>
          <w:sz w:val="22"/>
        </w:rPr>
        <w:t xml:space="preserve"> </w:t>
      </w:r>
    </w:p>
    <w:p w14:paraId="0DBB71EA" w14:textId="77777777" w:rsidR="008C3911" w:rsidRDefault="00511636" w:rsidP="008C3911">
      <w:pPr>
        <w:ind w:left="720"/>
        <w:rPr>
          <w:rFonts w:cs="Arial"/>
          <w:sz w:val="22"/>
        </w:rPr>
      </w:pPr>
      <w:r w:rsidRPr="00511636">
        <w:rPr>
          <w:rFonts w:cs="Arial"/>
          <w:sz w:val="22"/>
        </w:rPr>
        <w:t>(</w:t>
      </w:r>
      <w:r w:rsidRPr="00511636">
        <w:rPr>
          <w:rFonts w:cs="Arial"/>
          <w:strike/>
          <w:sz w:val="22"/>
        </w:rPr>
        <w:t>C</w:t>
      </w:r>
      <w:r w:rsidR="008C3911">
        <w:rPr>
          <w:rFonts w:cs="Arial"/>
          <w:color w:val="FF0000"/>
          <w:sz w:val="22"/>
        </w:rPr>
        <w:t>5</w:t>
      </w:r>
      <w:r w:rsidRPr="00511636">
        <w:rPr>
          <w:rFonts w:cs="Arial"/>
          <w:sz w:val="22"/>
        </w:rPr>
        <w:t>) Structures must meet all required yard</w:t>
      </w:r>
      <w:r w:rsidRPr="00D33456">
        <w:rPr>
          <w:rFonts w:cs="Arial"/>
          <w:strike/>
          <w:sz w:val="22"/>
        </w:rPr>
        <w:t>s</w:t>
      </w:r>
      <w:r w:rsidRPr="00511636">
        <w:rPr>
          <w:rFonts w:cs="Arial"/>
          <w:sz w:val="22"/>
        </w:rPr>
        <w:t xml:space="preserve">, </w:t>
      </w:r>
      <w:r w:rsidRPr="00D33456">
        <w:rPr>
          <w:rFonts w:cs="Arial"/>
          <w:strike/>
          <w:sz w:val="22"/>
        </w:rPr>
        <w:t>or</w:t>
      </w:r>
      <w:r w:rsidRPr="00511636">
        <w:rPr>
          <w:rFonts w:cs="Arial"/>
          <w:sz w:val="22"/>
        </w:rPr>
        <w:t xml:space="preserve"> lot coverage</w:t>
      </w:r>
      <w:r w:rsidR="00D33456">
        <w:rPr>
          <w:rFonts w:cs="Arial"/>
          <w:color w:val="FF0000"/>
          <w:sz w:val="22"/>
        </w:rPr>
        <w:t xml:space="preserve">, and </w:t>
      </w:r>
      <w:r w:rsidR="008C3911">
        <w:rPr>
          <w:rFonts w:cs="Arial"/>
          <w:color w:val="FF0000"/>
          <w:sz w:val="22"/>
        </w:rPr>
        <w:t>other dimensional requirements for the zoning district in which it is located (see Section 154.031).</w:t>
      </w:r>
      <w:r w:rsidRPr="00511636">
        <w:rPr>
          <w:rFonts w:cs="Arial"/>
          <w:sz w:val="22"/>
        </w:rPr>
        <w:t xml:space="preserve"> </w:t>
      </w:r>
      <w:r w:rsidRPr="00D33456">
        <w:rPr>
          <w:rFonts w:cs="Arial"/>
          <w:strike/>
          <w:sz w:val="22"/>
        </w:rPr>
        <w:t>regulations</w:t>
      </w:r>
      <w:r w:rsidRPr="00511636">
        <w:rPr>
          <w:rFonts w:cs="Arial"/>
          <w:sz w:val="22"/>
        </w:rPr>
        <w:t xml:space="preserve">. </w:t>
      </w:r>
    </w:p>
    <w:p w14:paraId="7BD643AA" w14:textId="77777777" w:rsidR="008C3911" w:rsidRDefault="008C3911" w:rsidP="008C3911">
      <w:pPr>
        <w:ind w:left="720"/>
        <w:rPr>
          <w:rFonts w:cs="Arial"/>
          <w:sz w:val="22"/>
        </w:rPr>
      </w:pPr>
      <w:r w:rsidRPr="008C3911">
        <w:rPr>
          <w:rFonts w:cs="Arial"/>
          <w:color w:val="FF0000"/>
          <w:sz w:val="22"/>
        </w:rPr>
        <w:t>(6)</w:t>
      </w:r>
      <w:r>
        <w:rPr>
          <w:rFonts w:cs="Arial"/>
          <w:sz w:val="22"/>
        </w:rPr>
        <w:t xml:space="preserve"> </w:t>
      </w:r>
      <w:r w:rsidR="00511636" w:rsidRPr="00511636">
        <w:rPr>
          <w:rFonts w:cs="Arial"/>
          <w:sz w:val="22"/>
        </w:rPr>
        <w:t xml:space="preserve">Accessory structures on a residential lot may not exceed 12’ in height, except that the height of the accessory building may be increased by one foot for each three feet the building exceeds the minimum required side and rear setback requirements. </w:t>
      </w:r>
    </w:p>
    <w:p w14:paraId="5E48BBBF" w14:textId="65D75BF6" w:rsidR="00511636" w:rsidRDefault="008C3911" w:rsidP="008C3911">
      <w:pPr>
        <w:ind w:left="720"/>
        <w:rPr>
          <w:rFonts w:cs="Arial"/>
          <w:sz w:val="22"/>
        </w:rPr>
      </w:pPr>
      <w:r>
        <w:rPr>
          <w:rFonts w:cs="Arial"/>
          <w:color w:val="FF0000"/>
          <w:sz w:val="22"/>
        </w:rPr>
        <w:t xml:space="preserve">(7) </w:t>
      </w:r>
      <w:r w:rsidR="00511636" w:rsidRPr="00511636">
        <w:rPr>
          <w:rFonts w:cs="Arial"/>
          <w:sz w:val="22"/>
        </w:rPr>
        <w:t xml:space="preserve">If setback and lot coverage requirements cannot be met, the total square footage of the accessory structure must be </w:t>
      </w:r>
      <w:proofErr w:type="gramStart"/>
      <w:r w:rsidR="00511636" w:rsidRPr="00511636">
        <w:rPr>
          <w:rFonts w:cs="Arial"/>
          <w:sz w:val="22"/>
        </w:rPr>
        <w:t>reduced</w:t>
      </w:r>
      <w:proofErr w:type="gramEnd"/>
      <w:r w:rsidR="00511636" w:rsidRPr="00511636">
        <w:rPr>
          <w:rFonts w:cs="Arial"/>
          <w:sz w:val="22"/>
        </w:rPr>
        <w:t xml:space="preserve"> or a variance obtained from the Zoning Board of Appeals. </w:t>
      </w:r>
    </w:p>
    <w:p w14:paraId="4E397023" w14:textId="38E3D649" w:rsidR="00D33456" w:rsidRPr="00D33456" w:rsidRDefault="00D33456" w:rsidP="008C3911">
      <w:pPr>
        <w:ind w:left="720"/>
        <w:rPr>
          <w:rFonts w:cs="Arial"/>
          <w:color w:val="FF0000"/>
          <w:sz w:val="22"/>
        </w:rPr>
      </w:pPr>
      <w:r>
        <w:rPr>
          <w:rFonts w:cs="Arial"/>
          <w:color w:val="FF0000"/>
          <w:sz w:val="22"/>
        </w:rPr>
        <w:lastRenderedPageBreak/>
        <w:t>(</w:t>
      </w:r>
      <w:r w:rsidR="008C3911">
        <w:rPr>
          <w:rFonts w:cs="Arial"/>
          <w:color w:val="FF0000"/>
          <w:sz w:val="22"/>
        </w:rPr>
        <w:t>8</w:t>
      </w:r>
      <w:r>
        <w:rPr>
          <w:rFonts w:cs="Arial"/>
          <w:color w:val="FF0000"/>
          <w:sz w:val="22"/>
        </w:rPr>
        <w:t xml:space="preserve">) Attached Accessory Buildings. Unless otherwise specified by this ordinance, accessory uses or buildings that are attached to the principal building (such as an attached garage) shall be considered a part of the principal building. </w:t>
      </w:r>
    </w:p>
    <w:p w14:paraId="266947B9" w14:textId="45CDEC91" w:rsidR="00511636" w:rsidRDefault="00511636" w:rsidP="00511636">
      <w:pPr>
        <w:rPr>
          <w:rFonts w:cs="Arial"/>
          <w:color w:val="FF0000"/>
          <w:sz w:val="22"/>
        </w:rPr>
      </w:pPr>
      <w:r>
        <w:rPr>
          <w:rFonts w:cs="Arial"/>
          <w:color w:val="FF0000"/>
          <w:sz w:val="22"/>
        </w:rPr>
        <w:t xml:space="preserve">(C) Accessory buildings or accessory structures in Business, Mixed-Use, and Industrial Districts. </w:t>
      </w:r>
    </w:p>
    <w:p w14:paraId="3C402605" w14:textId="6D64153E" w:rsidR="00511636" w:rsidRPr="00511636" w:rsidRDefault="008C3911" w:rsidP="00786EE1">
      <w:pPr>
        <w:spacing w:line="240" w:lineRule="auto"/>
        <w:ind w:left="720"/>
        <w:rPr>
          <w:rFonts w:cs="Arial"/>
          <w:color w:val="FF0000"/>
          <w:sz w:val="22"/>
        </w:rPr>
      </w:pPr>
      <w:r>
        <w:rPr>
          <w:rFonts w:cs="Arial"/>
          <w:color w:val="FF0000"/>
          <w:sz w:val="22"/>
        </w:rPr>
        <w:t>(</w:t>
      </w:r>
      <w:r w:rsidR="00511636" w:rsidRPr="00511636">
        <w:rPr>
          <w:rFonts w:cs="Arial"/>
          <w:color w:val="FF0000"/>
          <w:sz w:val="22"/>
        </w:rPr>
        <w:t>1) No accessory building or structure may be built upon any lot on which there is no principal building.</w:t>
      </w:r>
    </w:p>
    <w:p w14:paraId="03FF505B" w14:textId="04608741" w:rsidR="00511636" w:rsidRPr="00511636" w:rsidRDefault="008C3911" w:rsidP="00786EE1">
      <w:pPr>
        <w:spacing w:line="240" w:lineRule="auto"/>
        <w:ind w:left="720"/>
        <w:rPr>
          <w:rFonts w:cs="Arial"/>
          <w:color w:val="FF0000"/>
          <w:sz w:val="22"/>
        </w:rPr>
      </w:pPr>
      <w:r>
        <w:rPr>
          <w:rFonts w:cs="Arial"/>
          <w:color w:val="FF0000"/>
          <w:sz w:val="22"/>
        </w:rPr>
        <w:t>(</w:t>
      </w:r>
      <w:r w:rsidR="00511636" w:rsidRPr="00511636">
        <w:rPr>
          <w:rFonts w:cs="Arial"/>
          <w:color w:val="FF0000"/>
          <w:sz w:val="22"/>
        </w:rPr>
        <w:t xml:space="preserve">2) No accessory building shall be placed in any required front yard nor closer than ten feet to any other building. An accessory building or structure located in a rear yard shall </w:t>
      </w:r>
      <w:r w:rsidR="002D0586">
        <w:rPr>
          <w:rFonts w:cs="Arial"/>
          <w:color w:val="FF0000"/>
          <w:sz w:val="22"/>
        </w:rPr>
        <w:t xml:space="preserve">conform with required setbacks. </w:t>
      </w:r>
    </w:p>
    <w:p w14:paraId="74BA71EC" w14:textId="2FDCA5A3" w:rsidR="00511636" w:rsidRDefault="008C3911" w:rsidP="00786EE1">
      <w:pPr>
        <w:spacing w:line="240" w:lineRule="auto"/>
        <w:ind w:left="720"/>
        <w:rPr>
          <w:rFonts w:cs="Arial"/>
          <w:color w:val="FF0000"/>
          <w:sz w:val="22"/>
        </w:rPr>
      </w:pPr>
      <w:r>
        <w:rPr>
          <w:rFonts w:cs="Arial"/>
          <w:color w:val="FF0000"/>
          <w:sz w:val="22"/>
        </w:rPr>
        <w:t>(</w:t>
      </w:r>
      <w:r w:rsidR="00511636" w:rsidRPr="00511636">
        <w:rPr>
          <w:rFonts w:cs="Arial"/>
          <w:color w:val="FF0000"/>
          <w:sz w:val="22"/>
        </w:rPr>
        <w:t xml:space="preserve">3) As long as accessory buildings meet all yard setback requirements, there are no maximum building size restrictions on an accessory building in the </w:t>
      </w:r>
      <w:r w:rsidR="00511636">
        <w:rPr>
          <w:rFonts w:cs="Arial"/>
          <w:color w:val="FF0000"/>
          <w:sz w:val="22"/>
        </w:rPr>
        <w:t xml:space="preserve">Industrial or Business Districts. </w:t>
      </w:r>
    </w:p>
    <w:p w14:paraId="0871897C" w14:textId="09522831" w:rsidR="00511636" w:rsidRPr="00511636" w:rsidRDefault="008C3911" w:rsidP="00786EE1">
      <w:pPr>
        <w:spacing w:line="240" w:lineRule="auto"/>
        <w:ind w:left="720"/>
        <w:rPr>
          <w:rFonts w:cs="Arial"/>
          <w:color w:val="FF0000"/>
          <w:sz w:val="22"/>
        </w:rPr>
      </w:pPr>
      <w:r>
        <w:rPr>
          <w:rFonts w:cs="Arial"/>
          <w:color w:val="FF0000"/>
          <w:sz w:val="22"/>
        </w:rPr>
        <w:t>(</w:t>
      </w:r>
      <w:r w:rsidR="00511636">
        <w:rPr>
          <w:rFonts w:cs="Arial"/>
          <w:color w:val="FF0000"/>
          <w:sz w:val="22"/>
        </w:rPr>
        <w:t xml:space="preserve">4) The total area of accessory buildings or uses shall not exceed the total area of the principal use in the Mixed-Use district. </w:t>
      </w:r>
    </w:p>
    <w:p w14:paraId="4BF73911" w14:textId="77777777" w:rsidR="00786EE1" w:rsidRDefault="008C3911" w:rsidP="00786EE1">
      <w:pPr>
        <w:ind w:left="720"/>
        <w:rPr>
          <w:rFonts w:cs="Arial"/>
          <w:color w:val="FF0000"/>
          <w:sz w:val="22"/>
        </w:rPr>
      </w:pPr>
      <w:r>
        <w:rPr>
          <w:rFonts w:cs="Arial"/>
          <w:color w:val="FF0000"/>
          <w:sz w:val="22"/>
        </w:rPr>
        <w:t>(5</w:t>
      </w:r>
      <w:r w:rsidR="00511636" w:rsidRPr="00511636">
        <w:rPr>
          <w:rFonts w:cs="Arial"/>
          <w:color w:val="FF0000"/>
          <w:sz w:val="22"/>
        </w:rPr>
        <w:t xml:space="preserve">) </w:t>
      </w:r>
      <w:r w:rsidR="00511636">
        <w:rPr>
          <w:rFonts w:cs="Arial"/>
          <w:color w:val="FF0000"/>
          <w:sz w:val="22"/>
        </w:rPr>
        <w:t xml:space="preserve">Accessory buildings must be buffered from adjacent residentially zoned property, consistent with section 154.009.A.  </w:t>
      </w:r>
    </w:p>
    <w:p w14:paraId="51E8934B" w14:textId="5D1F011F" w:rsidR="00786EE1" w:rsidRPr="00D33456" w:rsidRDefault="00786EE1" w:rsidP="00786EE1">
      <w:pPr>
        <w:ind w:left="720"/>
        <w:rPr>
          <w:rFonts w:cs="Arial"/>
          <w:color w:val="FF0000"/>
          <w:sz w:val="22"/>
        </w:rPr>
      </w:pPr>
      <w:r>
        <w:rPr>
          <w:rFonts w:cs="Arial"/>
          <w:color w:val="FF0000"/>
          <w:sz w:val="22"/>
        </w:rPr>
        <w:t xml:space="preserve">(6) Attached Accessory Buildings. Unless otherwise specified by this ordinance, accessory uses or buildings that are attached to the principal building shall be considered a part of the principal building. </w:t>
      </w:r>
    </w:p>
    <w:p w14:paraId="13D879D1" w14:textId="77777777" w:rsidR="008C3911" w:rsidRPr="00511636" w:rsidRDefault="008C3911" w:rsidP="008C3911">
      <w:pPr>
        <w:ind w:left="720"/>
        <w:rPr>
          <w:rFonts w:cs="Arial"/>
          <w:color w:val="FF0000"/>
          <w:sz w:val="22"/>
        </w:rPr>
      </w:pPr>
    </w:p>
    <w:p w14:paraId="0B311F7B" w14:textId="091E8E15" w:rsidR="00511636" w:rsidRDefault="00D33456" w:rsidP="00D33456">
      <w:pPr>
        <w:pStyle w:val="Heading1"/>
      </w:pPr>
      <w:r>
        <w:t>Article II District Regulations</w:t>
      </w:r>
    </w:p>
    <w:p w14:paraId="743D83C8" w14:textId="76F58CC9" w:rsidR="00D33456" w:rsidRDefault="00D33456" w:rsidP="00D33456"/>
    <w:p w14:paraId="4526E20C" w14:textId="64B1CC4C" w:rsidR="00D33456" w:rsidRPr="00D33456" w:rsidRDefault="00D33456" w:rsidP="00D33456">
      <w:pPr>
        <w:pStyle w:val="Heading2"/>
      </w:pPr>
      <w:r>
        <w:t>154.031 Dimensions Table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33456" w14:paraId="1ED2A857" w14:textId="77777777" w:rsidTr="00D33456">
        <w:tc>
          <w:tcPr>
            <w:tcW w:w="1558" w:type="dxa"/>
            <w:shd w:val="clear" w:color="auto" w:fill="D0CECE" w:themeFill="background2" w:themeFillShade="E6"/>
          </w:tcPr>
          <w:p w14:paraId="6EA65D7F" w14:textId="17F766CB" w:rsidR="00D33456" w:rsidRPr="008C3911" w:rsidRDefault="00D33456" w:rsidP="00D33456">
            <w:pPr>
              <w:jc w:val="center"/>
              <w:rPr>
                <w:rFonts w:cs="Arial"/>
                <w:b/>
                <w:bCs/>
              </w:rPr>
            </w:pPr>
            <w:r w:rsidRPr="008C3911">
              <w:rPr>
                <w:rFonts w:cs="Arial"/>
                <w:b/>
                <w:bCs/>
              </w:rPr>
              <w:t>District</w:t>
            </w:r>
          </w:p>
        </w:tc>
        <w:tc>
          <w:tcPr>
            <w:tcW w:w="1558" w:type="dxa"/>
            <w:shd w:val="clear" w:color="auto" w:fill="D0CECE" w:themeFill="background2" w:themeFillShade="E6"/>
          </w:tcPr>
          <w:p w14:paraId="7F5DD30F" w14:textId="28B23633" w:rsidR="00D33456" w:rsidRPr="008C3911" w:rsidRDefault="00D33456" w:rsidP="00D33456">
            <w:pPr>
              <w:jc w:val="center"/>
              <w:rPr>
                <w:rFonts w:cs="Arial"/>
                <w:b/>
                <w:bCs/>
              </w:rPr>
            </w:pPr>
            <w:r w:rsidRPr="008C3911">
              <w:rPr>
                <w:rFonts w:cs="Arial"/>
                <w:b/>
                <w:bCs/>
              </w:rPr>
              <w:t>R-1</w:t>
            </w:r>
          </w:p>
        </w:tc>
        <w:tc>
          <w:tcPr>
            <w:tcW w:w="1558" w:type="dxa"/>
            <w:shd w:val="clear" w:color="auto" w:fill="D0CECE" w:themeFill="background2" w:themeFillShade="E6"/>
          </w:tcPr>
          <w:p w14:paraId="4D76E574" w14:textId="158E5255" w:rsidR="00D33456" w:rsidRPr="008C3911" w:rsidRDefault="00D33456" w:rsidP="00D33456">
            <w:pPr>
              <w:jc w:val="center"/>
              <w:rPr>
                <w:rFonts w:cs="Arial"/>
                <w:b/>
                <w:bCs/>
              </w:rPr>
            </w:pPr>
            <w:r w:rsidRPr="008C3911">
              <w:rPr>
                <w:rFonts w:cs="Arial"/>
                <w:b/>
                <w:bCs/>
              </w:rPr>
              <w:t>R-3</w:t>
            </w:r>
          </w:p>
        </w:tc>
        <w:tc>
          <w:tcPr>
            <w:tcW w:w="1558" w:type="dxa"/>
            <w:shd w:val="clear" w:color="auto" w:fill="D0CECE" w:themeFill="background2" w:themeFillShade="E6"/>
          </w:tcPr>
          <w:p w14:paraId="654D687B" w14:textId="0FF9314B" w:rsidR="00D33456" w:rsidRPr="008C3911" w:rsidRDefault="00D33456" w:rsidP="00D33456">
            <w:pPr>
              <w:jc w:val="center"/>
              <w:rPr>
                <w:rFonts w:cs="Arial"/>
                <w:b/>
                <w:bCs/>
              </w:rPr>
            </w:pPr>
            <w:r w:rsidRPr="008C3911">
              <w:rPr>
                <w:rFonts w:cs="Arial"/>
                <w:b/>
                <w:bCs/>
              </w:rPr>
              <w:t>B</w:t>
            </w:r>
          </w:p>
        </w:tc>
        <w:tc>
          <w:tcPr>
            <w:tcW w:w="1559" w:type="dxa"/>
            <w:shd w:val="clear" w:color="auto" w:fill="D0CECE" w:themeFill="background2" w:themeFillShade="E6"/>
          </w:tcPr>
          <w:p w14:paraId="65AE329D" w14:textId="5021C457" w:rsidR="00D33456" w:rsidRPr="008C3911" w:rsidRDefault="00D33456" w:rsidP="00D33456">
            <w:pPr>
              <w:jc w:val="center"/>
              <w:rPr>
                <w:rFonts w:cs="Arial"/>
                <w:b/>
                <w:bCs/>
              </w:rPr>
            </w:pPr>
            <w:r w:rsidRPr="008C3911">
              <w:rPr>
                <w:rFonts w:cs="Arial"/>
                <w:b/>
                <w:bCs/>
              </w:rPr>
              <w:t>D-MU</w:t>
            </w:r>
          </w:p>
        </w:tc>
        <w:tc>
          <w:tcPr>
            <w:tcW w:w="1559" w:type="dxa"/>
            <w:shd w:val="clear" w:color="auto" w:fill="D0CECE" w:themeFill="background2" w:themeFillShade="E6"/>
          </w:tcPr>
          <w:p w14:paraId="66D89B82" w14:textId="3A762F92" w:rsidR="00D33456" w:rsidRPr="008C3911" w:rsidRDefault="00D33456" w:rsidP="00D33456">
            <w:pPr>
              <w:jc w:val="center"/>
              <w:rPr>
                <w:rFonts w:cs="Arial"/>
                <w:b/>
                <w:bCs/>
              </w:rPr>
            </w:pPr>
            <w:r w:rsidRPr="008C3911">
              <w:rPr>
                <w:rFonts w:cs="Arial"/>
                <w:b/>
                <w:bCs/>
              </w:rPr>
              <w:t>I</w:t>
            </w:r>
          </w:p>
        </w:tc>
      </w:tr>
      <w:tr w:rsidR="00D33456" w14:paraId="59D6626A" w14:textId="77777777" w:rsidTr="00D33456">
        <w:tc>
          <w:tcPr>
            <w:tcW w:w="1558" w:type="dxa"/>
            <w:shd w:val="clear" w:color="auto" w:fill="D0CECE" w:themeFill="background2" w:themeFillShade="E6"/>
          </w:tcPr>
          <w:p w14:paraId="1290CA7B" w14:textId="2A9EF95D" w:rsidR="00D33456" w:rsidRPr="00D33456" w:rsidRDefault="00D33456" w:rsidP="00786EE1">
            <w:pPr>
              <w:jc w:val="center"/>
              <w:rPr>
                <w:rFonts w:cs="Arial"/>
                <w:b/>
                <w:bCs/>
              </w:rPr>
            </w:pPr>
            <w:r w:rsidRPr="00D33456">
              <w:rPr>
                <w:rFonts w:cs="Arial"/>
                <w:b/>
                <w:bCs/>
              </w:rPr>
              <w:t xml:space="preserve">Accessory </w:t>
            </w:r>
            <w:r w:rsidR="008C3911" w:rsidRPr="008C3911">
              <w:rPr>
                <w:rFonts w:cs="Arial"/>
                <w:b/>
                <w:bCs/>
                <w:color w:val="FF0000"/>
              </w:rPr>
              <w:t>Buildings &amp;</w:t>
            </w:r>
            <w:r w:rsidR="008C3911">
              <w:rPr>
                <w:rFonts w:cs="Arial"/>
                <w:b/>
                <w:bCs/>
              </w:rPr>
              <w:t xml:space="preserve"> </w:t>
            </w:r>
            <w:r w:rsidRPr="00D33456">
              <w:rPr>
                <w:rFonts w:cs="Arial"/>
                <w:b/>
                <w:bCs/>
              </w:rPr>
              <w:t>Structures</w:t>
            </w:r>
          </w:p>
        </w:tc>
        <w:tc>
          <w:tcPr>
            <w:tcW w:w="1558" w:type="dxa"/>
          </w:tcPr>
          <w:p w14:paraId="57B47EFD" w14:textId="28ADACC6" w:rsidR="00D33456" w:rsidRPr="00D33456" w:rsidRDefault="00D33456" w:rsidP="00511636">
            <w:pPr>
              <w:rPr>
                <w:rFonts w:cs="Arial"/>
              </w:rPr>
            </w:pPr>
            <w:r>
              <w:rPr>
                <w:rFonts w:cs="Arial"/>
              </w:rPr>
              <w:t xml:space="preserve">See Sec. </w:t>
            </w:r>
            <w:r w:rsidRPr="00D33456">
              <w:rPr>
                <w:rFonts w:cs="Arial"/>
                <w:strike/>
              </w:rPr>
              <w:t>403</w:t>
            </w:r>
            <w:r>
              <w:rPr>
                <w:rFonts w:cs="Arial"/>
              </w:rPr>
              <w:t xml:space="preserve"> </w:t>
            </w:r>
            <w:r w:rsidRPr="00D33456">
              <w:rPr>
                <w:rFonts w:cs="Arial"/>
                <w:strike/>
              </w:rPr>
              <w:t>Accessory Buildings</w:t>
            </w:r>
            <w:r>
              <w:rPr>
                <w:rFonts w:cs="Arial"/>
                <w:strike/>
              </w:rPr>
              <w:t xml:space="preserve"> </w:t>
            </w:r>
            <w:r w:rsidRPr="00D33456">
              <w:rPr>
                <w:rFonts w:cs="Arial"/>
                <w:color w:val="FF0000"/>
              </w:rPr>
              <w:t>154.008 Structure Regulations</w:t>
            </w:r>
          </w:p>
        </w:tc>
        <w:tc>
          <w:tcPr>
            <w:tcW w:w="1558" w:type="dxa"/>
          </w:tcPr>
          <w:p w14:paraId="4278937D" w14:textId="34908DA1" w:rsidR="00D33456" w:rsidRDefault="00D33456" w:rsidP="00511636">
            <w:pPr>
              <w:rPr>
                <w:rFonts w:cs="Arial"/>
              </w:rPr>
            </w:pPr>
            <w:r>
              <w:rPr>
                <w:rFonts w:cs="Arial"/>
              </w:rPr>
              <w:t xml:space="preserve">See Sec. </w:t>
            </w:r>
            <w:r w:rsidRPr="00D33456">
              <w:rPr>
                <w:rFonts w:cs="Arial"/>
                <w:strike/>
              </w:rPr>
              <w:t>403</w:t>
            </w:r>
            <w:r>
              <w:rPr>
                <w:rFonts w:cs="Arial"/>
              </w:rPr>
              <w:t xml:space="preserve"> </w:t>
            </w:r>
            <w:r w:rsidRPr="00D33456">
              <w:rPr>
                <w:rFonts w:cs="Arial"/>
                <w:strike/>
              </w:rPr>
              <w:t>Accessory Buildings</w:t>
            </w:r>
            <w:r>
              <w:rPr>
                <w:rFonts w:cs="Arial"/>
                <w:strike/>
              </w:rPr>
              <w:t xml:space="preserve"> </w:t>
            </w:r>
            <w:r w:rsidRPr="00D33456">
              <w:rPr>
                <w:rFonts w:cs="Arial"/>
                <w:color w:val="FF0000"/>
              </w:rPr>
              <w:t>154.008 Structure Regulations</w:t>
            </w:r>
          </w:p>
        </w:tc>
        <w:tc>
          <w:tcPr>
            <w:tcW w:w="1558" w:type="dxa"/>
          </w:tcPr>
          <w:p w14:paraId="26BF0B9D" w14:textId="5F39C226" w:rsidR="00D33456" w:rsidRPr="00D33456" w:rsidRDefault="00D33456" w:rsidP="00D33456">
            <w:pPr>
              <w:rPr>
                <w:rFonts w:cs="Arial"/>
                <w:strike/>
              </w:rPr>
            </w:pPr>
            <w:r w:rsidRPr="00D33456">
              <w:rPr>
                <w:rFonts w:cs="Arial"/>
                <w:strike/>
              </w:rPr>
              <w:t>See Chapter 4 General Provisions</w:t>
            </w:r>
            <w:r>
              <w:rPr>
                <w:rFonts w:cs="Arial"/>
                <w:strike/>
              </w:rPr>
              <w:t xml:space="preserve"> </w:t>
            </w:r>
            <w:r w:rsidR="002D0586" w:rsidRPr="002D0586">
              <w:rPr>
                <w:rFonts w:cs="Arial"/>
                <w:color w:val="FF0000"/>
              </w:rPr>
              <w:t xml:space="preserve">See Sec. </w:t>
            </w:r>
            <w:r w:rsidRPr="00D33456">
              <w:rPr>
                <w:rFonts w:cs="Arial"/>
                <w:color w:val="FF0000"/>
              </w:rPr>
              <w:t>154.008 Structure Regulations</w:t>
            </w:r>
          </w:p>
        </w:tc>
        <w:tc>
          <w:tcPr>
            <w:tcW w:w="1559" w:type="dxa"/>
          </w:tcPr>
          <w:p w14:paraId="0A2D3A6A" w14:textId="4A1825AA" w:rsidR="00D33456" w:rsidRPr="00D33456" w:rsidRDefault="00D33456" w:rsidP="00D33456">
            <w:pPr>
              <w:rPr>
                <w:rFonts w:cs="Arial"/>
                <w:strike/>
              </w:rPr>
            </w:pPr>
            <w:r w:rsidRPr="00D33456">
              <w:rPr>
                <w:rFonts w:cs="Arial"/>
                <w:strike/>
              </w:rPr>
              <w:t>See Chapter 4 General Provisions</w:t>
            </w:r>
            <w:r>
              <w:rPr>
                <w:rFonts w:cs="Arial"/>
                <w:strike/>
              </w:rPr>
              <w:t xml:space="preserve"> </w:t>
            </w:r>
            <w:r w:rsidR="002D0586" w:rsidRPr="002D0586">
              <w:rPr>
                <w:rFonts w:cs="Arial"/>
                <w:color w:val="FF0000"/>
              </w:rPr>
              <w:t xml:space="preserve">See Sec. </w:t>
            </w:r>
            <w:r w:rsidR="002D0586" w:rsidRPr="00D33456">
              <w:rPr>
                <w:rFonts w:cs="Arial"/>
                <w:color w:val="FF0000"/>
              </w:rPr>
              <w:t xml:space="preserve">154.008 Structure Regulations </w:t>
            </w:r>
          </w:p>
        </w:tc>
        <w:tc>
          <w:tcPr>
            <w:tcW w:w="1559" w:type="dxa"/>
          </w:tcPr>
          <w:p w14:paraId="0426A6B7" w14:textId="21B25663" w:rsidR="00D33456" w:rsidRPr="00D33456" w:rsidRDefault="00D33456" w:rsidP="00511636">
            <w:pPr>
              <w:rPr>
                <w:rFonts w:cs="Arial"/>
                <w:strike/>
              </w:rPr>
            </w:pPr>
            <w:r w:rsidRPr="00D33456">
              <w:rPr>
                <w:rFonts w:cs="Arial"/>
                <w:strike/>
              </w:rPr>
              <w:t>See Chapter 4 General Provisions</w:t>
            </w:r>
            <w:r>
              <w:rPr>
                <w:rFonts w:cs="Arial"/>
                <w:strike/>
              </w:rPr>
              <w:t xml:space="preserve"> </w:t>
            </w:r>
            <w:r w:rsidR="002D0586" w:rsidRPr="002D0586">
              <w:rPr>
                <w:rFonts w:cs="Arial"/>
                <w:color w:val="FF0000"/>
              </w:rPr>
              <w:t>See Sec</w:t>
            </w:r>
            <w:r w:rsidR="002D0586">
              <w:rPr>
                <w:rFonts w:cs="Arial"/>
                <w:color w:val="FF0000"/>
              </w:rPr>
              <w:t>.</w:t>
            </w:r>
            <w:r w:rsidR="002D0586" w:rsidRPr="00D33456">
              <w:rPr>
                <w:rFonts w:cs="Arial"/>
                <w:color w:val="FF0000"/>
              </w:rPr>
              <w:t xml:space="preserve"> </w:t>
            </w:r>
            <w:r w:rsidRPr="00D33456">
              <w:rPr>
                <w:rFonts w:cs="Arial"/>
                <w:color w:val="FF0000"/>
              </w:rPr>
              <w:t>154.008 Structure Regulations</w:t>
            </w:r>
          </w:p>
        </w:tc>
      </w:tr>
    </w:tbl>
    <w:p w14:paraId="22AF145C" w14:textId="24610047" w:rsidR="009860DA" w:rsidRDefault="009860DA" w:rsidP="009860DA">
      <w:pPr>
        <w:rPr>
          <w:rFonts w:cs="Arial"/>
          <w:sz w:val="16"/>
          <w:szCs w:val="16"/>
        </w:rPr>
      </w:pPr>
    </w:p>
    <w:p w14:paraId="60142D84" w14:textId="653A5862" w:rsidR="00795D59" w:rsidRPr="00795D59" w:rsidRDefault="00795D59" w:rsidP="00795D59">
      <w:pPr>
        <w:rPr>
          <w:rFonts w:cs="Arial"/>
          <w:sz w:val="24"/>
          <w:szCs w:val="24"/>
        </w:rPr>
      </w:pPr>
      <w:r w:rsidRPr="00795D59">
        <w:rPr>
          <w:rFonts w:cs="Arial"/>
          <w:sz w:val="24"/>
          <w:szCs w:val="24"/>
        </w:rPr>
        <w:t xml:space="preserve">The above Ordinance was adopted at a regular meeting of the City of Auburn City Commission on the 15th day of </w:t>
      </w:r>
      <w:proofErr w:type="gramStart"/>
      <w:r w:rsidRPr="00795D59">
        <w:rPr>
          <w:rFonts w:cs="Arial"/>
          <w:sz w:val="24"/>
          <w:szCs w:val="24"/>
        </w:rPr>
        <w:t>August,</w:t>
      </w:r>
      <w:proofErr w:type="gramEnd"/>
      <w:r w:rsidRPr="00795D59">
        <w:rPr>
          <w:rFonts w:cs="Arial"/>
          <w:sz w:val="24"/>
          <w:szCs w:val="24"/>
        </w:rPr>
        <w:t xml:space="preserve"> 2022 and shall be published in the Pinconning Journal on or before the 30th day of August, 2022.</w:t>
      </w:r>
    </w:p>
    <w:p w14:paraId="36BF86A0" w14:textId="2B79A3B3" w:rsidR="00795D59" w:rsidRPr="00795D59" w:rsidRDefault="00795D59" w:rsidP="00795D59">
      <w:pPr>
        <w:rPr>
          <w:rFonts w:cs="Arial"/>
          <w:sz w:val="22"/>
        </w:rPr>
      </w:pPr>
      <w:r w:rsidRPr="00795D59">
        <w:rPr>
          <w:rFonts w:cs="Arial"/>
          <w:sz w:val="22"/>
        </w:rPr>
        <w:t>Roll Call Vote</w:t>
      </w:r>
      <w:r w:rsidRPr="00795D59">
        <w:rPr>
          <w:rFonts w:cs="Arial"/>
          <w:sz w:val="22"/>
        </w:rPr>
        <w:t>:</w:t>
      </w:r>
    </w:p>
    <w:p w14:paraId="6C9C75D3" w14:textId="77777777" w:rsidR="00795D59" w:rsidRPr="00795D59" w:rsidRDefault="00795D59" w:rsidP="00795D59">
      <w:pPr>
        <w:rPr>
          <w:rFonts w:cs="Arial"/>
          <w:sz w:val="22"/>
        </w:rPr>
      </w:pPr>
      <w:r w:rsidRPr="00795D59">
        <w:rPr>
          <w:rFonts w:cs="Arial"/>
          <w:sz w:val="22"/>
        </w:rPr>
        <w:t xml:space="preserve">Yeas: Commissioners </w:t>
      </w:r>
      <w:proofErr w:type="spellStart"/>
      <w:r w:rsidRPr="00795D59">
        <w:rPr>
          <w:rFonts w:cs="Arial"/>
          <w:sz w:val="22"/>
        </w:rPr>
        <w:t>Rahl</w:t>
      </w:r>
      <w:proofErr w:type="spellEnd"/>
      <w:r w:rsidRPr="00795D59">
        <w:rPr>
          <w:rFonts w:cs="Arial"/>
          <w:sz w:val="22"/>
        </w:rPr>
        <w:t>, Dzurka, Webb, Gwizdala, Charbonneau, Mayor Kilbourn</w:t>
      </w:r>
    </w:p>
    <w:p w14:paraId="496112D1" w14:textId="77777777" w:rsidR="00795D59" w:rsidRPr="00795D59" w:rsidRDefault="00795D59" w:rsidP="00795D59">
      <w:pPr>
        <w:rPr>
          <w:rFonts w:cs="Arial"/>
          <w:sz w:val="22"/>
        </w:rPr>
      </w:pPr>
      <w:r w:rsidRPr="00795D59">
        <w:rPr>
          <w:rFonts w:cs="Arial"/>
          <w:sz w:val="22"/>
        </w:rPr>
        <w:t>Nays: None</w:t>
      </w:r>
    </w:p>
    <w:p w14:paraId="449CAB49" w14:textId="77777777" w:rsidR="00795D59" w:rsidRPr="00795D59" w:rsidRDefault="00795D59" w:rsidP="00795D59">
      <w:pPr>
        <w:rPr>
          <w:rFonts w:cs="Arial"/>
          <w:sz w:val="22"/>
        </w:rPr>
      </w:pPr>
      <w:r w:rsidRPr="00795D59">
        <w:rPr>
          <w:rFonts w:cs="Arial"/>
          <w:sz w:val="22"/>
        </w:rPr>
        <w:t>Absent: Warner</w:t>
      </w:r>
    </w:p>
    <w:p w14:paraId="3854614F" w14:textId="0A5D9EAB" w:rsidR="000D33BA" w:rsidRPr="00795D59" w:rsidRDefault="00795D59" w:rsidP="00795D59">
      <w:pPr>
        <w:rPr>
          <w:rFonts w:cs="Arial"/>
          <w:sz w:val="24"/>
          <w:szCs w:val="24"/>
        </w:rPr>
      </w:pPr>
      <w:r w:rsidRPr="00795D59">
        <w:rPr>
          <w:rFonts w:cs="Arial"/>
          <w:sz w:val="24"/>
          <w:szCs w:val="24"/>
        </w:rPr>
        <w:t>ORDINANCE DECLARED ADOPTED.”</w:t>
      </w:r>
    </w:p>
    <w:sectPr w:rsidR="000D33BA" w:rsidRPr="00795D5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21F8" w14:textId="77777777" w:rsidR="009860DA" w:rsidRDefault="009860DA" w:rsidP="009860DA">
      <w:pPr>
        <w:spacing w:after="0" w:line="240" w:lineRule="auto"/>
      </w:pPr>
      <w:r>
        <w:separator/>
      </w:r>
    </w:p>
  </w:endnote>
  <w:endnote w:type="continuationSeparator" w:id="0">
    <w:p w14:paraId="2F3275F7" w14:textId="77777777" w:rsidR="009860DA" w:rsidRDefault="009860DA" w:rsidP="0098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605865"/>
      <w:docPartObj>
        <w:docPartGallery w:val="Page Numbers (Bottom of Page)"/>
        <w:docPartUnique/>
      </w:docPartObj>
    </w:sdtPr>
    <w:sdtEndPr/>
    <w:sdtContent>
      <w:sdt>
        <w:sdtPr>
          <w:id w:val="1728636285"/>
          <w:docPartObj>
            <w:docPartGallery w:val="Page Numbers (Top of Page)"/>
            <w:docPartUnique/>
          </w:docPartObj>
        </w:sdtPr>
        <w:sdtEndPr/>
        <w:sdtContent>
          <w:p w14:paraId="49E343B6" w14:textId="3981416E" w:rsidR="009860DA" w:rsidRDefault="009860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B19CD4" w14:textId="77777777" w:rsidR="009860DA" w:rsidRDefault="00986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AC10" w14:textId="77777777" w:rsidR="009860DA" w:rsidRDefault="009860DA" w:rsidP="009860DA">
      <w:pPr>
        <w:spacing w:after="0" w:line="240" w:lineRule="auto"/>
      </w:pPr>
      <w:r>
        <w:separator/>
      </w:r>
    </w:p>
  </w:footnote>
  <w:footnote w:type="continuationSeparator" w:id="0">
    <w:p w14:paraId="7C7B1776" w14:textId="77777777" w:rsidR="009860DA" w:rsidRDefault="009860DA" w:rsidP="00986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7190" w14:textId="620C8EB8" w:rsidR="009860DA" w:rsidRPr="008431FA" w:rsidRDefault="008C3911" w:rsidP="009860DA">
    <w:pPr>
      <w:pStyle w:val="Header"/>
      <w:jc w:val="right"/>
      <w:rPr>
        <w:rFonts w:cs="Arial"/>
      </w:rPr>
    </w:pPr>
    <w:r>
      <w:rPr>
        <w:rFonts w:cs="Arial"/>
      </w:rPr>
      <w:t>City of Auburn</w:t>
    </w:r>
    <w:r w:rsidR="00F15F82" w:rsidRPr="008431FA">
      <w:rPr>
        <w:rFonts w:cs="Arial"/>
      </w:rPr>
      <w:t xml:space="preserve"> </w:t>
    </w:r>
    <w:r w:rsidR="00A23F80" w:rsidRPr="008431FA">
      <w:rPr>
        <w:rFonts w:cs="Arial"/>
      </w:rPr>
      <w:tab/>
    </w:r>
    <w:r w:rsidR="00A23F80" w:rsidRPr="008431FA">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BF5"/>
    <w:multiLevelType w:val="hybridMultilevel"/>
    <w:tmpl w:val="EC2ABA28"/>
    <w:lvl w:ilvl="0" w:tplc="351CDF46">
      <w:start w:val="1"/>
      <w:numFmt w:val="lowerRoman"/>
      <w:pStyle w:val="Heading5"/>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5A251B"/>
    <w:multiLevelType w:val="hybridMultilevel"/>
    <w:tmpl w:val="84841AA4"/>
    <w:lvl w:ilvl="0" w:tplc="4E44EE98">
      <w:start w:val="1"/>
      <w:numFmt w:val="low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4306D"/>
    <w:multiLevelType w:val="hybridMultilevel"/>
    <w:tmpl w:val="CB88B662"/>
    <w:lvl w:ilvl="0" w:tplc="3EB8882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32A85"/>
    <w:multiLevelType w:val="hybridMultilevel"/>
    <w:tmpl w:val="60C6DF56"/>
    <w:lvl w:ilvl="0" w:tplc="715438F2">
      <w:start w:val="1"/>
      <w:numFmt w:val="upp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858154">
    <w:abstractNumId w:val="2"/>
  </w:num>
  <w:num w:numId="2" w16cid:durableId="589510542">
    <w:abstractNumId w:val="3"/>
  </w:num>
  <w:num w:numId="3" w16cid:durableId="1679039761">
    <w:abstractNumId w:val="0"/>
  </w:num>
  <w:num w:numId="4" w16cid:durableId="672411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AB"/>
    <w:rsid w:val="000D33BA"/>
    <w:rsid w:val="00196E60"/>
    <w:rsid w:val="00207BC1"/>
    <w:rsid w:val="002D0586"/>
    <w:rsid w:val="0037232D"/>
    <w:rsid w:val="0040680D"/>
    <w:rsid w:val="004D17AB"/>
    <w:rsid w:val="00511636"/>
    <w:rsid w:val="00602A13"/>
    <w:rsid w:val="006407D1"/>
    <w:rsid w:val="0074235C"/>
    <w:rsid w:val="00786EE1"/>
    <w:rsid w:val="00795D59"/>
    <w:rsid w:val="007F6CD1"/>
    <w:rsid w:val="00840A67"/>
    <w:rsid w:val="008431FA"/>
    <w:rsid w:val="008B0CFB"/>
    <w:rsid w:val="008C3911"/>
    <w:rsid w:val="009860DA"/>
    <w:rsid w:val="009A4B73"/>
    <w:rsid w:val="00A23F80"/>
    <w:rsid w:val="00A55C84"/>
    <w:rsid w:val="00C05382"/>
    <w:rsid w:val="00D33456"/>
    <w:rsid w:val="00DA4170"/>
    <w:rsid w:val="00DC0EAE"/>
    <w:rsid w:val="00F1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0AC1"/>
  <w15:chartTrackingRefBased/>
  <w15:docId w15:val="{407E1800-E410-492A-A11F-6870A77F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1FA"/>
    <w:pPr>
      <w:spacing w:after="120"/>
    </w:pPr>
    <w:rPr>
      <w:rFonts w:ascii="Arial" w:hAnsi="Arial"/>
      <w:sz w:val="20"/>
    </w:rPr>
  </w:style>
  <w:style w:type="paragraph" w:styleId="Heading1">
    <w:name w:val="heading 1"/>
    <w:basedOn w:val="Normal"/>
    <w:next w:val="Normal"/>
    <w:link w:val="Heading1Char"/>
    <w:uiPriority w:val="9"/>
    <w:qFormat/>
    <w:rsid w:val="009860DA"/>
    <w:pPr>
      <w:shd w:val="clear" w:color="auto" w:fill="000000" w:themeFill="text1"/>
      <w:spacing w:after="0"/>
      <w:jc w:val="center"/>
      <w:outlineLvl w:val="0"/>
    </w:pPr>
    <w:rPr>
      <w:rFonts w:cstheme="minorHAnsi"/>
      <w:sz w:val="40"/>
      <w:szCs w:val="40"/>
    </w:rPr>
  </w:style>
  <w:style w:type="paragraph" w:styleId="Heading2">
    <w:name w:val="heading 2"/>
    <w:basedOn w:val="Normal"/>
    <w:next w:val="Normal"/>
    <w:link w:val="Heading2Char"/>
    <w:uiPriority w:val="9"/>
    <w:unhideWhenUsed/>
    <w:qFormat/>
    <w:rsid w:val="008431FA"/>
    <w:pPr>
      <w:shd w:val="clear" w:color="auto" w:fill="D9D9D9" w:themeFill="background1" w:themeFillShade="D9"/>
      <w:outlineLvl w:val="1"/>
    </w:pPr>
    <w:rPr>
      <w:rFonts w:cstheme="minorHAnsi"/>
      <w:sz w:val="22"/>
    </w:rPr>
  </w:style>
  <w:style w:type="paragraph" w:styleId="Heading3">
    <w:name w:val="heading 3"/>
    <w:basedOn w:val="ListParagraph"/>
    <w:next w:val="Normal"/>
    <w:link w:val="Heading3Char"/>
    <w:uiPriority w:val="9"/>
    <w:unhideWhenUsed/>
    <w:qFormat/>
    <w:rsid w:val="009860DA"/>
    <w:pPr>
      <w:numPr>
        <w:numId w:val="1"/>
      </w:numPr>
      <w:ind w:left="360"/>
      <w:outlineLvl w:val="2"/>
    </w:pPr>
  </w:style>
  <w:style w:type="paragraph" w:styleId="Heading4">
    <w:name w:val="heading 4"/>
    <w:basedOn w:val="ListParagraph"/>
    <w:next w:val="Normal"/>
    <w:link w:val="Heading4Char"/>
    <w:uiPriority w:val="9"/>
    <w:unhideWhenUsed/>
    <w:qFormat/>
    <w:rsid w:val="009860DA"/>
    <w:pPr>
      <w:numPr>
        <w:numId w:val="2"/>
      </w:numPr>
      <w:outlineLvl w:val="3"/>
    </w:pPr>
  </w:style>
  <w:style w:type="paragraph" w:styleId="Heading5">
    <w:name w:val="heading 5"/>
    <w:basedOn w:val="ListParagraph"/>
    <w:next w:val="Normal"/>
    <w:link w:val="Heading5Char"/>
    <w:uiPriority w:val="9"/>
    <w:unhideWhenUsed/>
    <w:qFormat/>
    <w:rsid w:val="009860DA"/>
    <w:pPr>
      <w:numPr>
        <w:numId w:val="3"/>
      </w:numPr>
      <w:ind w:left="1170"/>
      <w:outlineLvl w:val="4"/>
    </w:pPr>
  </w:style>
  <w:style w:type="paragraph" w:styleId="Heading6">
    <w:name w:val="heading 6"/>
    <w:basedOn w:val="ListParagraph"/>
    <w:next w:val="Normal"/>
    <w:link w:val="Heading6Char"/>
    <w:uiPriority w:val="9"/>
    <w:unhideWhenUsed/>
    <w:qFormat/>
    <w:rsid w:val="009860DA"/>
    <w:pPr>
      <w:numPr>
        <w:numId w:val="4"/>
      </w:numPr>
      <w:ind w:left="153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0DA"/>
    <w:rPr>
      <w:rFonts w:ascii="Franklin Gothic Book" w:hAnsi="Franklin Gothic Book" w:cstheme="minorHAnsi"/>
      <w:sz w:val="40"/>
      <w:szCs w:val="40"/>
      <w:shd w:val="clear" w:color="auto" w:fill="000000" w:themeFill="text1"/>
    </w:rPr>
  </w:style>
  <w:style w:type="character" w:customStyle="1" w:styleId="Heading2Char">
    <w:name w:val="Heading 2 Char"/>
    <w:basedOn w:val="DefaultParagraphFont"/>
    <w:link w:val="Heading2"/>
    <w:uiPriority w:val="9"/>
    <w:rsid w:val="008431FA"/>
    <w:rPr>
      <w:rFonts w:ascii="Arial" w:hAnsi="Arial" w:cstheme="minorHAnsi"/>
      <w:shd w:val="clear" w:color="auto" w:fill="D9D9D9" w:themeFill="background1" w:themeFillShade="D9"/>
    </w:rPr>
  </w:style>
  <w:style w:type="paragraph" w:styleId="ListParagraph">
    <w:name w:val="List Paragraph"/>
    <w:basedOn w:val="Normal"/>
    <w:uiPriority w:val="34"/>
    <w:qFormat/>
    <w:rsid w:val="009860DA"/>
    <w:pPr>
      <w:ind w:left="720"/>
      <w:contextualSpacing/>
    </w:pPr>
  </w:style>
  <w:style w:type="character" w:customStyle="1" w:styleId="Heading3Char">
    <w:name w:val="Heading 3 Char"/>
    <w:basedOn w:val="DefaultParagraphFont"/>
    <w:link w:val="Heading3"/>
    <w:uiPriority w:val="9"/>
    <w:rsid w:val="009860DA"/>
    <w:rPr>
      <w:rFonts w:ascii="Franklin Gothic Book" w:hAnsi="Franklin Gothic Book"/>
      <w:sz w:val="20"/>
    </w:rPr>
  </w:style>
  <w:style w:type="character" w:customStyle="1" w:styleId="Heading4Char">
    <w:name w:val="Heading 4 Char"/>
    <w:basedOn w:val="DefaultParagraphFont"/>
    <w:link w:val="Heading4"/>
    <w:uiPriority w:val="9"/>
    <w:rsid w:val="009860DA"/>
    <w:rPr>
      <w:rFonts w:ascii="Franklin Gothic Book" w:hAnsi="Franklin Gothic Book"/>
      <w:sz w:val="20"/>
    </w:rPr>
  </w:style>
  <w:style w:type="character" w:customStyle="1" w:styleId="Heading5Char">
    <w:name w:val="Heading 5 Char"/>
    <w:basedOn w:val="DefaultParagraphFont"/>
    <w:link w:val="Heading5"/>
    <w:uiPriority w:val="9"/>
    <w:rsid w:val="009860DA"/>
    <w:rPr>
      <w:rFonts w:ascii="Franklin Gothic Book" w:hAnsi="Franklin Gothic Book"/>
      <w:sz w:val="20"/>
    </w:rPr>
  </w:style>
  <w:style w:type="character" w:customStyle="1" w:styleId="Heading6Char">
    <w:name w:val="Heading 6 Char"/>
    <w:basedOn w:val="DefaultParagraphFont"/>
    <w:link w:val="Heading6"/>
    <w:uiPriority w:val="9"/>
    <w:rsid w:val="009860DA"/>
    <w:rPr>
      <w:rFonts w:ascii="Franklin Gothic Book" w:hAnsi="Franklin Gothic Book"/>
      <w:sz w:val="20"/>
    </w:rPr>
  </w:style>
  <w:style w:type="paragraph" w:styleId="Header">
    <w:name w:val="header"/>
    <w:basedOn w:val="Normal"/>
    <w:link w:val="HeaderChar"/>
    <w:uiPriority w:val="99"/>
    <w:unhideWhenUsed/>
    <w:rsid w:val="00986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DA"/>
    <w:rPr>
      <w:rFonts w:ascii="Franklin Gothic Book" w:hAnsi="Franklin Gothic Book"/>
      <w:sz w:val="20"/>
    </w:rPr>
  </w:style>
  <w:style w:type="paragraph" w:styleId="Footer">
    <w:name w:val="footer"/>
    <w:basedOn w:val="Normal"/>
    <w:link w:val="FooterChar"/>
    <w:uiPriority w:val="99"/>
    <w:unhideWhenUsed/>
    <w:rsid w:val="00986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DA"/>
    <w:rPr>
      <w:rFonts w:ascii="Franklin Gothic Book" w:hAnsi="Franklin Gothic Book"/>
      <w:sz w:val="20"/>
    </w:rPr>
  </w:style>
  <w:style w:type="table" w:styleId="TableGrid">
    <w:name w:val="Table Grid"/>
    <w:basedOn w:val="TableNormal"/>
    <w:uiPriority w:val="39"/>
    <w:rsid w:val="00D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911"/>
    <w:rPr>
      <w:sz w:val="16"/>
      <w:szCs w:val="16"/>
    </w:rPr>
  </w:style>
  <w:style w:type="paragraph" w:styleId="CommentText">
    <w:name w:val="annotation text"/>
    <w:basedOn w:val="Normal"/>
    <w:link w:val="CommentTextChar"/>
    <w:uiPriority w:val="99"/>
    <w:semiHidden/>
    <w:unhideWhenUsed/>
    <w:rsid w:val="008C3911"/>
    <w:pPr>
      <w:spacing w:line="240" w:lineRule="auto"/>
    </w:pPr>
    <w:rPr>
      <w:szCs w:val="20"/>
    </w:rPr>
  </w:style>
  <w:style w:type="character" w:customStyle="1" w:styleId="CommentTextChar">
    <w:name w:val="Comment Text Char"/>
    <w:basedOn w:val="DefaultParagraphFont"/>
    <w:link w:val="CommentText"/>
    <w:uiPriority w:val="99"/>
    <w:semiHidden/>
    <w:rsid w:val="008C391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3911"/>
    <w:rPr>
      <w:b/>
      <w:bCs/>
    </w:rPr>
  </w:style>
  <w:style w:type="character" w:customStyle="1" w:styleId="CommentSubjectChar">
    <w:name w:val="Comment Subject Char"/>
    <w:basedOn w:val="CommentTextChar"/>
    <w:link w:val="CommentSubject"/>
    <w:uiPriority w:val="99"/>
    <w:semiHidden/>
    <w:rsid w:val="008C3911"/>
    <w:rPr>
      <w:rFonts w:ascii="Arial" w:hAnsi="Arial"/>
      <w:b/>
      <w:bCs/>
      <w:sz w:val="20"/>
      <w:szCs w:val="20"/>
    </w:rPr>
  </w:style>
  <w:style w:type="paragraph" w:styleId="Revision">
    <w:name w:val="Revision"/>
    <w:hidden/>
    <w:uiPriority w:val="99"/>
    <w:semiHidden/>
    <w:rsid w:val="0074235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25B5-F702-4B42-A19C-680DBEC3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Habben</dc:creator>
  <cp:keywords/>
  <dc:description/>
  <cp:lastModifiedBy>Clerk</cp:lastModifiedBy>
  <cp:revision>2</cp:revision>
  <cp:lastPrinted>2022-08-22T15:04:00Z</cp:lastPrinted>
  <dcterms:created xsi:type="dcterms:W3CDTF">2022-08-23T13:40:00Z</dcterms:created>
  <dcterms:modified xsi:type="dcterms:W3CDTF">2022-08-23T13:40:00Z</dcterms:modified>
</cp:coreProperties>
</file>